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6350" distR="6985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user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44"/>
                                <w:szCs w:val="44"/>
                              </w:rPr>
                              <w:t>Doing Memory: Medieval Saints and Heroes and Their Afterlives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44"/>
                                <w:szCs w:val="44"/>
                              </w:rPr>
                              <w:t>in the Baltic Sea Region (19th–20th centuries)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44"/>
                          <w:szCs w:val="44"/>
                        </w:rPr>
                        <w:t>Doing Memory: Medieval Saints and Heroes and Their Afterlives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44"/>
                          <w:szCs w:val="44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44"/>
                          <w:szCs w:val="44"/>
                        </w:rPr>
                        <w:t>in the Baltic Sea Region (19th–20th centuries)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>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file:///C:/Users/Ms.%20Precious/Desktop/library%20work/books/history/10.1515_9783111351193.pdf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file:///C:/Users/Ms.%20Precious/Desktop/library%20work/books/history/10.1515_9783111351193.pdf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-290195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user"/>
                              <w:spacing w:lineRule="auto" w:line="240" w:before="0" w:after="0"/>
                              <w:jc w:val="start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Cordelia Heß and Gustavs Strenga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user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4</w:t>
                            </w:r>
                          </w:p>
                          <w:p>
                            <w:pPr>
                              <w:pStyle w:val="FrameContentsuser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9783111351193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22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user"/>
                        <w:spacing w:lineRule="auto" w:line="240" w:before="0" w:after="0"/>
                        <w:jc w:val="start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Cordelia Heß and Gustavs Strenga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user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4</w:t>
                      </w:r>
                    </w:p>
                    <w:p>
                      <w:pPr>
                        <w:pStyle w:val="FrameContentsuser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9783111351193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user">
    <w:name w:val="Frame Contents (user)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Application>LibreOffice/25.8.5.2$Windows_X86_64 LibreOffice_project/9c8b85f387cc00a89945a79c9e6239f32e450ac2</Application>
  <AppVersion>15.0000</AppVersion>
  <Pages>1</Pages>
  <Words>38</Words>
  <Characters>282</Characters>
  <CharactersWithSpaces>332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2026-03-20T12:19:04Z</dcterms:modified>
  <cp:revision>123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